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D7456" w:rsidTr="00817B26">
        <w:tc>
          <w:tcPr>
            <w:tcW w:w="4644" w:type="dxa"/>
            <w:gridSpan w:val="3"/>
          </w:tcPr>
          <w:p w:rsidR="00D76FD1" w:rsidRPr="00CD7456" w:rsidRDefault="00CD7456" w:rsidP="000C54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D7456">
              <w:rPr>
                <w:b/>
                <w:bCs/>
                <w:color w:val="000000"/>
                <w:sz w:val="24"/>
                <w:szCs w:val="24"/>
                <w:lang w:bidi="ru-RU"/>
              </w:rPr>
              <w:t>о премировании, надбавках, доплатах и других видах материального стимулирования работников</w:t>
            </w:r>
          </w:p>
          <w:p w:rsidR="007F4B3D" w:rsidRPr="0044502E" w:rsidRDefault="007F4B3D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1.1. Настоящее Положение разработано для Муниципального бюджетного дошкольного образовательного учреждения «Детск</w:t>
      </w:r>
      <w:r>
        <w:rPr>
          <w:rFonts w:eastAsia="Times New Roman" w:cstheme="minorHAnsi"/>
          <w:sz w:val="24"/>
          <w:szCs w:val="24"/>
          <w:lang w:val="ru-RU" w:eastAsia="ru-RU"/>
        </w:rPr>
        <w:t>ий сад №1 «Малх» с.</w:t>
      </w:r>
      <w:r w:rsidR="002452F2">
        <w:rPr>
          <w:rFonts w:eastAsia="Times New Roman" w:cstheme="minorHAnsi"/>
          <w:sz w:val="24"/>
          <w:szCs w:val="24"/>
          <w:lang w:val="ru-RU" w:eastAsia="ru-RU"/>
        </w:rPr>
        <w:t>Бердыкель</w:t>
      </w:r>
      <w:bookmarkStart w:id="0" w:name="_GoBack"/>
      <w:bookmarkEnd w:id="0"/>
      <w:r w:rsidRPr="00CD7456">
        <w:rPr>
          <w:rFonts w:eastAsia="Times New Roman" w:cstheme="minorHAnsi"/>
          <w:sz w:val="24"/>
          <w:szCs w:val="24"/>
          <w:lang w:val="ru-RU" w:eastAsia="ru-RU"/>
        </w:rPr>
        <w:t xml:space="preserve"> муниципального образования городской округ город Аргун» (далее - Учреждение) в соответствии с Федеральным законом от 29.12.2012 № 273-ФЗ «Об образовании в РФ», Трудовым Кодексом Российской Федерации, Постановления Правительства Чеченской Республики от 07.10.2014 № 184 «Об утверждении Положения об оплате труда работников государственных (муниципальных) образовательных организаций Чеченской Республики», в целях повышения эффективности и качества труда работников Учреждения, развития их творческой активности и инициативы, а также в целях повышения качества дошкольного образовательного и воспитательного процессов.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1.2. Система стимулирующих выплат работникам Учреждений включает в себя: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выплаты, предусмотренные действующей системой оплаты труда в МУ «УДУ г. Аргун»;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поощрительные выплаты по результатам труда.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Установление поощрительных выплат, не связанных с результативностью труда, не допускается.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1.3. Данное Положение устанавливает порядок, перечень и условия осуществления поощрительных выплат работникам Учреждения.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1.4. Распределение поощрительных выплат по результатам труда производится в порядке, обеспечивающем муниципальный и общественный характер управления Учреждением.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1.5. Поощрительные выплаты по результатам труда производятся в пределах стимулирующей части фонда оплаты труда работников Учреждения и максимальными размерами не ограничиваются.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1.6. Поощрительные выплаты производятся в установленном в Учреждении порядке.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1.7. Поощрительные выплаты могут устанавливаться в виде стимулирующих надбавок или выплачиваться в виде разовых премий.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1.8. Перечень категорий работников Учреждения и размер выплат, предусмотренных действующей системой оплаты труда МУ «УДУ г. Аргун», определяются методикой расчета фонда оплаты труда работников Учреждения.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b/>
          <w:sz w:val="24"/>
          <w:szCs w:val="24"/>
          <w:lang w:val="ru-RU" w:eastAsia="ru-RU"/>
        </w:rPr>
        <w:t>2. Условия назначения поощрительных выплат по результатам труда работникам Учреждения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 Перечень оснований установления поощрительных выплат для заведующего, заместителей заведующего, воспитателей, педагогов по дополнительному образованию и других работников: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lastRenderedPageBreak/>
        <w:t>2.1.1. Показатели результативности (положительная динамика);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результаты подготовки воспитанников;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сохранение здоровья воспитанников;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сохранение и увеличение контингента воспитанников.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2.1.2. Подготовка конкурсов различного уровня.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2.1.3. Использование в своей деятельности передового педагогического опыта (при наличии документального подтверждения).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2.1.4. Внедрение и апробация новых программ обучения воспитанников.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2.1.5. Подготовка и проведение в группах Учреждения различных мероприятий воспитательного, духовно-нравственного и эстетического развития детей.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2.1.6. Наставничество (при наличии документального подтверждения).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2.1.7. Представление опыта (продвинутого) работника Учреждения на районном, республиканском уровне, в порядке (рамках) обмена опытом.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2.1.8. Участие в методической работе: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выступления на семинарах, конференциях, педсоветах, методических объединениях;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 осуществление руководства проблемными творческими группами Учреждения;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 проведение воспитателями, педагогами по дополнительному образованию Учреждения открытых занятий с участием родителей;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 обобщение передового педагогического опыта работников Учреждения;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 участие в конкурсах педагогического мастерства районного, отраслевого или республиканского уровня Чеченкой Республики.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2.1.9. Отсутствие обоснованных обращений родителей воспитанников (детей) Учреждения, воспитателей, педагогов по поводу конфликтных ситуаций и их решения.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2.1.10. Высокий уровень исполнительской дисциплины (отсутствие нарушений правил внутреннего трудового распорядка).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2.1.11. Проведение работы по снижению количества детей с отклонениями в поведении и проблемами в воспитании в семье (в неблагополучной семье).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2.1.12. Качественное выполнение функциональных обязанностей воспитателями, помощниками воспитателей, педагогами по дополнительному образованию и остальными сотрудниками Учреждения: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отсутствие травматизма в Учреждении;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 отсутствие замечаний по работе с документами (подготовка воспитательно-образовательных планов, перспективных планов, отчетов, заполнение журналов, ведение личных дел и др.).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2.1.13. Иные основания, установленные локальными нормативными актами Учреждения.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 Перечень оснований установления поощрительных выплат для административного персонала Учреждения: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2.2.1. Отсутствие обоснованных жалоб на Учреждение.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2.2.2. Участие Учреждения в мероприятиях районного, городского, республиканского значения.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b/>
          <w:i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2.2.3. Участие воспитанников в мероприятиях различного уровня</w:t>
      </w:r>
      <w:r w:rsidRPr="00CD7456">
        <w:rPr>
          <w:rFonts w:eastAsia="Times New Roman" w:cstheme="minorHAnsi"/>
          <w:b/>
          <w:i/>
          <w:sz w:val="24"/>
          <w:szCs w:val="24"/>
          <w:lang w:val="ru-RU" w:eastAsia="ru-RU"/>
        </w:rPr>
        <w:t>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2.2.4. Высокий уровень квалификации педагогического состава Учреждения.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2.2.5. Низкий уровень травматизма в Учреждении.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2.2.6. Наличие в Учреждении органа общественного управления (профкома).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2.2.7. Наличие практики публичных докладов (выступлений) руководства, специалистов учреждения по результатам образовательной деятельности Учреждения.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2.2.8. Наличие высоких творческих и профессиональных достижений в работе.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 xml:space="preserve">2.2.9. Выполнение важных (срочных) заданий в установленный срок. 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К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дошкольного образования (проведение экспериментальной работы, проведение массовых мероприятий и др.).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2.2.10. Проведение консультаций для родителей (лиц, их заменяющих), дети которых посещают Учреждение.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lastRenderedPageBreak/>
        <w:t xml:space="preserve">2.2.11. Предоставление дополнительных образовательных услуг воспитанникам учреждения; 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 xml:space="preserve">- работа постоянно действующих клубов для родителей (законных представителей); 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проведение работы с социально неблагополучными семьями.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2.2.12. Иные основания, установленные локальными нормативно-правовыми актами Учреждения.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2.3. Перечень оснований установления поощрительных выплат для учебно-вспомогательного и обслуживающего персонала Учреждения: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2.3.1. Качественное и своевременное выполнение должностных обязанностей.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2.3.2. Исполнительская дисциплина работников Учреждения.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2.3.3. Отсутствие жалоб.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2.3.4. Иные основания, установленные локальными нормативно-правовыми актами Учреждения.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2.4. Поощрительные выплаты в виде стимулирующих надбавок устанавливаются по результатам прошедшего (учебного) года.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2.5. Единовременное премирование (награждение) отличившихся работников Учреждения может осуществляться: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 за качественное выполнение работниками Учреждения дополнительных работ, не входящих в круг их основных обязанностей;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по итогам работы за определенный период (квартал, полугодие, год);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к юбилейным и праздничным датам (начиная с 50 лет, через каждые 5 лет), в связи с уходом на пенсию;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за безупречную продолжительную трудовую деятельность (15, 20, 25 лет и более);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 проведение разовых мероприятий в масштабе дошкольного образовательного учреждения;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- по иным основаниям.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При определении конкретного размера премии работникам дошкольных образовательных учреждений учитываются качество, объем и значимость проведенной работы, результаты работы.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3. Порядок назначения поощрительных выплат по результатам труда работникам </w:t>
      </w:r>
      <w:r w:rsidRPr="00CD7456">
        <w:rPr>
          <w:rFonts w:eastAsia="Times New Roman" w:cstheme="minorHAnsi"/>
          <w:b/>
          <w:sz w:val="24"/>
          <w:szCs w:val="24"/>
          <w:lang w:val="ru-RU" w:eastAsia="ru-RU"/>
        </w:rPr>
        <w:t>Учреждения</w:t>
      </w: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CD7456" w:rsidRPr="00CD7456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3.1. Порядок и условия распределения поощрительных выплат по результатам труда работникам устанавливаются по представлению руководителя (заведующего) Учреждения в соответствии с его локальными нормативными актами и настоящим Положением при участии профсоюзного комитета Учреждения, обеспечивающего общественный характер управления учреждением.</w:t>
      </w:r>
    </w:p>
    <w:p w:rsidR="00C84A22" w:rsidRPr="00C84A22" w:rsidRDefault="00CD7456" w:rsidP="00CD7456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D7456">
        <w:rPr>
          <w:rFonts w:eastAsia="Times New Roman" w:cstheme="minorHAnsi"/>
          <w:sz w:val="24"/>
          <w:szCs w:val="24"/>
          <w:lang w:val="ru-RU" w:eastAsia="ru-RU"/>
        </w:rPr>
        <w:t>3.2. Заведующий Учреждением представляет в профсоюзный комитет или иной общественный орган самоуправления Учреждения (совету педагогов, общему собранию трудового коллектива), обеспечивающий демократический, общественный подход управления, аналитическую информацию о показателях деятельности работников учреждения, являющуюся основанием для установления им поощрительных выплат.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C84A22" w:rsidRPr="00C84A22" w:rsidRDefault="00C84A22" w:rsidP="00C84A2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C84A22" w:rsidRPr="00C84A22" w:rsidTr="00A3361D">
        <w:trPr>
          <w:trHeight w:val="989"/>
        </w:trPr>
        <w:tc>
          <w:tcPr>
            <w:tcW w:w="5098" w:type="dxa"/>
          </w:tcPr>
          <w:p w:rsidR="00C84A22" w:rsidRPr="00CC1294" w:rsidRDefault="00C84A22" w:rsidP="00A3361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CD7456" w:rsidRPr="00CD7456" w:rsidRDefault="00CD7456" w:rsidP="00CD7456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>на заседании общего собрания</w:t>
            </w:r>
          </w:p>
          <w:p w:rsidR="00CD7456" w:rsidRPr="00CD7456" w:rsidRDefault="00CD7456" w:rsidP="00CD7456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 xml:space="preserve">трудового коллектива </w:t>
            </w:r>
          </w:p>
          <w:p w:rsidR="00C84A22" w:rsidRPr="00CC1294" w:rsidRDefault="00CD7456" w:rsidP="00CD7456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>(протокол от 01.02.2022 №2)</w:t>
            </w:r>
          </w:p>
        </w:tc>
        <w:tc>
          <w:tcPr>
            <w:tcW w:w="5098" w:type="dxa"/>
          </w:tcPr>
          <w:p w:rsidR="000C5449" w:rsidRPr="00CC1294" w:rsidRDefault="000C5449" w:rsidP="000C544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4A22" w:rsidRPr="00C84A22" w:rsidRDefault="00C84A22" w:rsidP="00C84A2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</w:p>
    <w:p w:rsidR="000C5449" w:rsidRDefault="000C5449" w:rsidP="000C544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</w:p>
    <w:p w:rsidR="000C5449" w:rsidRDefault="000C5449" w:rsidP="000C544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</w:p>
    <w:sectPr w:rsidR="00C84A22" w:rsidRPr="00C84A22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22" w:rsidRDefault="00A25F22">
      <w:pPr>
        <w:spacing w:before="0" w:after="0"/>
      </w:pPr>
      <w:r>
        <w:separator/>
      </w:r>
    </w:p>
  </w:endnote>
  <w:endnote w:type="continuationSeparator" w:id="0">
    <w:p w:rsidR="00A25F22" w:rsidRDefault="00A25F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A25F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22" w:rsidRDefault="00A25F22">
      <w:pPr>
        <w:spacing w:before="0" w:after="0"/>
      </w:pPr>
      <w:r>
        <w:separator/>
      </w:r>
    </w:p>
  </w:footnote>
  <w:footnote w:type="continuationSeparator" w:id="0">
    <w:p w:rsidR="00A25F22" w:rsidRDefault="00A25F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D51"/>
    <w:multiLevelType w:val="hybridMultilevel"/>
    <w:tmpl w:val="9A760984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9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862"/>
    <w:multiLevelType w:val="multilevel"/>
    <w:tmpl w:val="D710F9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4555A"/>
    <w:multiLevelType w:val="hybridMultilevel"/>
    <w:tmpl w:val="6F4E9808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6C9"/>
    <w:multiLevelType w:val="hybridMultilevel"/>
    <w:tmpl w:val="82D81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6FE2"/>
    <w:multiLevelType w:val="multilevel"/>
    <w:tmpl w:val="FA60B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17BC"/>
    <w:multiLevelType w:val="hybridMultilevel"/>
    <w:tmpl w:val="0E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03C0E"/>
    <w:multiLevelType w:val="hybridMultilevel"/>
    <w:tmpl w:val="465EE532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74386"/>
    <w:multiLevelType w:val="hybridMultilevel"/>
    <w:tmpl w:val="70B2DC3C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6D56"/>
    <w:multiLevelType w:val="hybridMultilevel"/>
    <w:tmpl w:val="8446F60E"/>
    <w:lvl w:ilvl="0" w:tplc="A8A0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D754B2"/>
    <w:multiLevelType w:val="multilevel"/>
    <w:tmpl w:val="FF504B3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5"/>
  </w:num>
  <w:num w:numId="4">
    <w:abstractNumId w:val="27"/>
  </w:num>
  <w:num w:numId="5">
    <w:abstractNumId w:val="30"/>
  </w:num>
  <w:num w:numId="6">
    <w:abstractNumId w:val="7"/>
  </w:num>
  <w:num w:numId="7">
    <w:abstractNumId w:val="5"/>
  </w:num>
  <w:num w:numId="8">
    <w:abstractNumId w:val="11"/>
  </w:num>
  <w:num w:numId="9">
    <w:abstractNumId w:val="37"/>
  </w:num>
  <w:num w:numId="10">
    <w:abstractNumId w:val="29"/>
  </w:num>
  <w:num w:numId="11">
    <w:abstractNumId w:val="21"/>
  </w:num>
  <w:num w:numId="12">
    <w:abstractNumId w:val="4"/>
  </w:num>
  <w:num w:numId="13">
    <w:abstractNumId w:val="25"/>
  </w:num>
  <w:num w:numId="14">
    <w:abstractNumId w:val="22"/>
  </w:num>
  <w:num w:numId="15">
    <w:abstractNumId w:val="26"/>
  </w:num>
  <w:num w:numId="16">
    <w:abstractNumId w:val="6"/>
  </w:num>
  <w:num w:numId="17">
    <w:abstractNumId w:val="36"/>
  </w:num>
  <w:num w:numId="18">
    <w:abstractNumId w:val="31"/>
  </w:num>
  <w:num w:numId="19">
    <w:abstractNumId w:val="16"/>
  </w:num>
  <w:num w:numId="20">
    <w:abstractNumId w:val="28"/>
  </w:num>
  <w:num w:numId="21">
    <w:abstractNumId w:val="3"/>
  </w:num>
  <w:num w:numId="22">
    <w:abstractNumId w:val="2"/>
  </w:num>
  <w:num w:numId="23">
    <w:abstractNumId w:val="17"/>
  </w:num>
  <w:num w:numId="24">
    <w:abstractNumId w:val="35"/>
  </w:num>
  <w:num w:numId="25">
    <w:abstractNumId w:val="9"/>
  </w:num>
  <w:num w:numId="26">
    <w:abstractNumId w:val="8"/>
  </w:num>
  <w:num w:numId="27">
    <w:abstractNumId w:val="18"/>
  </w:num>
  <w:num w:numId="28">
    <w:abstractNumId w:val="20"/>
  </w:num>
  <w:num w:numId="29">
    <w:abstractNumId w:val="33"/>
  </w:num>
  <w:num w:numId="30">
    <w:abstractNumId w:val="10"/>
  </w:num>
  <w:num w:numId="31">
    <w:abstractNumId w:val="14"/>
  </w:num>
  <w:num w:numId="32">
    <w:abstractNumId w:val="34"/>
  </w:num>
  <w:num w:numId="33">
    <w:abstractNumId w:val="24"/>
  </w:num>
  <w:num w:numId="34">
    <w:abstractNumId w:val="19"/>
  </w:num>
  <w:num w:numId="35">
    <w:abstractNumId w:val="23"/>
  </w:num>
  <w:num w:numId="36">
    <w:abstractNumId w:val="0"/>
  </w:num>
  <w:num w:numId="37">
    <w:abstractNumId w:val="12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5449"/>
    <w:rsid w:val="000C7246"/>
    <w:rsid w:val="000C75E3"/>
    <w:rsid w:val="000D51FB"/>
    <w:rsid w:val="000E5F19"/>
    <w:rsid w:val="000F1613"/>
    <w:rsid w:val="001003A6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E7F11"/>
    <w:rsid w:val="001F0936"/>
    <w:rsid w:val="001F2948"/>
    <w:rsid w:val="001F3DB2"/>
    <w:rsid w:val="001F4AD4"/>
    <w:rsid w:val="002033ED"/>
    <w:rsid w:val="00207B72"/>
    <w:rsid w:val="00242798"/>
    <w:rsid w:val="00244BAD"/>
    <w:rsid w:val="002452F2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123F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5D3E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B3D65"/>
    <w:rsid w:val="007C0DC8"/>
    <w:rsid w:val="007D45C3"/>
    <w:rsid w:val="007F3D28"/>
    <w:rsid w:val="007F4B3D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E6A5D"/>
    <w:rsid w:val="00912937"/>
    <w:rsid w:val="00924613"/>
    <w:rsid w:val="00937B7A"/>
    <w:rsid w:val="00964E46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5F22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84A22"/>
    <w:rsid w:val="00CA1724"/>
    <w:rsid w:val="00CA3E7B"/>
    <w:rsid w:val="00CC025E"/>
    <w:rsid w:val="00CC1294"/>
    <w:rsid w:val="00CD7456"/>
    <w:rsid w:val="00CE5FA0"/>
    <w:rsid w:val="00CE7A67"/>
    <w:rsid w:val="00D026CD"/>
    <w:rsid w:val="00D3394B"/>
    <w:rsid w:val="00D465A0"/>
    <w:rsid w:val="00D57BA6"/>
    <w:rsid w:val="00D76FD1"/>
    <w:rsid w:val="00D82809"/>
    <w:rsid w:val="00DA53D7"/>
    <w:rsid w:val="00DB72DA"/>
    <w:rsid w:val="00DC1BF5"/>
    <w:rsid w:val="00DD54AE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452E1"/>
    <w:rsid w:val="00F8228F"/>
    <w:rsid w:val="00F8772C"/>
    <w:rsid w:val="00F9064E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BC6C60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2CC3-215B-4BDE-A5DB-F914083F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112</cp:revision>
  <cp:lastPrinted>2022-04-01T10:06:00Z</cp:lastPrinted>
  <dcterms:created xsi:type="dcterms:W3CDTF">2022-02-02T13:14:00Z</dcterms:created>
  <dcterms:modified xsi:type="dcterms:W3CDTF">2022-04-01T10:10:00Z</dcterms:modified>
</cp:coreProperties>
</file>